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МАТЕРИАЛ</w:t>
      </w:r>
    </w:p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C707E" w:rsidRPr="00FC707E" w:rsidRDefault="00FC707E" w:rsidP="00FC707E">
      <w:pPr>
        <w:spacing w:after="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(</w:t>
      </w:r>
      <w:r w:rsidR="009D55BF">
        <w:rPr>
          <w:rFonts w:eastAsia="Times New Roman" w:cs="Times New Roman"/>
          <w:sz w:val="30"/>
          <w:szCs w:val="30"/>
          <w:lang w:eastAsia="ru-RU"/>
        </w:rPr>
        <w:t>март</w:t>
      </w:r>
      <w:r w:rsidRPr="00FC707E">
        <w:rPr>
          <w:rFonts w:eastAsia="Times New Roman" w:cs="Times New Roman"/>
          <w:sz w:val="30"/>
          <w:szCs w:val="30"/>
          <w:lang w:eastAsia="ru-RU"/>
        </w:rPr>
        <w:t xml:space="preserve"> 202</w:t>
      </w:r>
      <w:r w:rsidR="009D55BF">
        <w:rPr>
          <w:rFonts w:eastAsia="Times New Roman" w:cs="Times New Roman"/>
          <w:sz w:val="30"/>
          <w:szCs w:val="30"/>
          <w:lang w:eastAsia="ru-RU"/>
        </w:rPr>
        <w:t>5</w:t>
      </w:r>
      <w:r w:rsidRPr="00FC707E">
        <w:rPr>
          <w:rFonts w:eastAsia="Times New Roman" w:cs="Times New Roman"/>
          <w:sz w:val="30"/>
          <w:szCs w:val="30"/>
          <w:lang w:val="en-US" w:eastAsia="ru-RU"/>
        </w:rPr>
        <w:t> </w:t>
      </w:r>
      <w:r w:rsidRPr="00FC707E">
        <w:rPr>
          <w:rFonts w:eastAsia="Times New Roman" w:cs="Times New Roman"/>
          <w:sz w:val="30"/>
          <w:szCs w:val="30"/>
          <w:lang w:eastAsia="ru-RU"/>
        </w:rPr>
        <w:t>г.)</w:t>
      </w:r>
    </w:p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0936DE"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96DFA">
        <w:rPr>
          <w:rFonts w:cs="Times New Roman"/>
          <w:bCs/>
          <w:i/>
          <w:szCs w:val="28"/>
        </w:rPr>
        <w:t>Нацбанка</w:t>
      </w:r>
      <w:proofErr w:type="spellEnd"/>
      <w:r w:rsidRPr="00296DFA"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>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</w:t>
      </w:r>
      <w:r w:rsidR="00C55B03">
        <w:rPr>
          <w:rFonts w:eastAsia="Calibri" w:cs="Times New Roman"/>
          <w:sz w:val="30"/>
          <w:szCs w:val="30"/>
        </w:rPr>
        <w:t xml:space="preserve">гались изменению и </w:t>
      </w:r>
      <w:proofErr w:type="gramStart"/>
      <w:r w:rsidR="00C55B03">
        <w:rPr>
          <w:rFonts w:eastAsia="Calibri" w:cs="Times New Roman"/>
          <w:sz w:val="30"/>
          <w:szCs w:val="30"/>
        </w:rPr>
        <w:t xml:space="preserve">закрепленные </w:t>
      </w:r>
      <w:r w:rsidRPr="000936DE">
        <w:rPr>
          <w:rFonts w:eastAsia="Calibri" w:cs="Times New Roman"/>
          <w:sz w:val="30"/>
          <w:szCs w:val="30"/>
        </w:rPr>
        <w:t>ранее гарантии прав и свобод человека</w:t>
      </w:r>
      <w:proofErr w:type="gramEnd"/>
      <w:r w:rsidRPr="000936DE">
        <w:rPr>
          <w:rFonts w:eastAsia="Calibri" w:cs="Times New Roman"/>
          <w:sz w:val="30"/>
          <w:szCs w:val="30"/>
        </w:rPr>
        <w:t xml:space="preserve">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 xml:space="preserve">Конституция Республики Беларусь стала не только отражением политических и социально-экономических перемен, но и документом, определившим на </w:t>
      </w:r>
      <w:bookmarkStart w:id="0" w:name="_GoBack"/>
      <w:bookmarkEnd w:id="0"/>
      <w:r w:rsidRPr="000936DE">
        <w:rPr>
          <w:rFonts w:eastAsia="Calibri" w:cs="Times New Roman"/>
          <w:b/>
          <w:sz w:val="30"/>
          <w:szCs w:val="30"/>
        </w:rPr>
        <w:t>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535D80">
        <w:rPr>
          <w:rFonts w:cs="Times New Roman"/>
          <w:bCs/>
          <w:sz w:val="30"/>
          <w:szCs w:val="30"/>
        </w:rPr>
        <w:t>международно</w:t>
      </w:r>
      <w:proofErr w:type="spellEnd"/>
      <w:r w:rsidRPr="00535D80"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83" w:rsidRDefault="00300783" w:rsidP="00B36F8F">
      <w:pPr>
        <w:spacing w:after="0" w:line="240" w:lineRule="auto"/>
      </w:pPr>
      <w:r>
        <w:separator/>
      </w:r>
    </w:p>
  </w:endnote>
  <w:endnote w:type="continuationSeparator" w:id="0">
    <w:p w:rsidR="00300783" w:rsidRDefault="00300783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83" w:rsidRDefault="00300783" w:rsidP="00B36F8F">
      <w:pPr>
        <w:spacing w:after="0" w:line="240" w:lineRule="auto"/>
      </w:pPr>
      <w:r>
        <w:separator/>
      </w:r>
    </w:p>
  </w:footnote>
  <w:footnote w:type="continuationSeparator" w:id="0">
    <w:p w:rsidR="00300783" w:rsidRDefault="00300783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C55B03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84CFC"/>
    <w:rsid w:val="002966FD"/>
    <w:rsid w:val="00296DFA"/>
    <w:rsid w:val="002978F1"/>
    <w:rsid w:val="002D2CC2"/>
    <w:rsid w:val="002E0E3E"/>
    <w:rsid w:val="002E3FC1"/>
    <w:rsid w:val="002F2F15"/>
    <w:rsid w:val="00300783"/>
    <w:rsid w:val="00302C93"/>
    <w:rsid w:val="00321D1B"/>
    <w:rsid w:val="00364EA5"/>
    <w:rsid w:val="00391AC6"/>
    <w:rsid w:val="003E06F5"/>
    <w:rsid w:val="003F0105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36F8F"/>
    <w:rsid w:val="00B81F6D"/>
    <w:rsid w:val="00BE5E6F"/>
    <w:rsid w:val="00BF605E"/>
    <w:rsid w:val="00BF6A3C"/>
    <w:rsid w:val="00C04A3F"/>
    <w:rsid w:val="00C14E5C"/>
    <w:rsid w:val="00C51FEF"/>
    <w:rsid w:val="00C55B03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B2FFE"/>
  <w15:chartTrackingRefBased/>
  <w15:docId w15:val="{9A7F49E2-3C3D-40CD-809A-32479BD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F53D-982E-4F1A-9EE3-34D9F2A2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Ольга Вергейчик</cp:lastModifiedBy>
  <cp:revision>3</cp:revision>
  <cp:lastPrinted>2025-03-07T07:33:00Z</cp:lastPrinted>
  <dcterms:created xsi:type="dcterms:W3CDTF">2025-03-11T09:22:00Z</dcterms:created>
  <dcterms:modified xsi:type="dcterms:W3CDTF">2025-03-17T05:57:00Z</dcterms:modified>
</cp:coreProperties>
</file>