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68CA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4E4934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266FDE65" w14:textId="77777777" w:rsidR="00F31516" w:rsidRPr="004E4934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A685842" w14:textId="77777777" w:rsidR="00A57E75" w:rsidRPr="001E628B" w:rsidRDefault="00A57E75" w:rsidP="00A57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14:paraId="471A5D3F" w14:textId="77777777" w:rsidR="00A57E75" w:rsidRDefault="00A57E75" w:rsidP="00F31516">
      <w:pPr>
        <w:spacing w:after="0" w:line="280" w:lineRule="exact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беспилотники,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цифровизация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</w:t>
      </w:r>
      <w:r w:rsidR="004B55FE" w:rsidRPr="00AA4956">
        <w:rPr>
          <w:rFonts w:ascii="Times New Roman" w:hAnsi="Times New Roman" w:cs="Times New Roman"/>
          <w:sz w:val="30"/>
          <w:szCs w:val="30"/>
        </w:rPr>
        <w:lastRenderedPageBreak/>
        <w:t xml:space="preserve">стать объектом кибератаки.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киберугроз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кибератакам.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Беларусбанка создан один из крупнейших в стране центров кибербезопасности,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Нацбанком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кибермошенника,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>различные виды кибермошенничества</w:t>
      </w:r>
      <w:r>
        <w:rPr>
          <w:rFonts w:ascii="Times New Roman" w:hAnsi="Times New Roman" w:cs="Times New Roman"/>
          <w:sz w:val="30"/>
          <w:szCs w:val="30"/>
        </w:rPr>
        <w:t xml:space="preserve">, такие, например, как вишинг,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A40F9">
        <w:rPr>
          <w:rFonts w:ascii="Times New Roman" w:hAnsi="Times New Roman" w:cs="Times New Roman"/>
          <w:sz w:val="30"/>
          <w:szCs w:val="30"/>
        </w:rPr>
        <w:t xml:space="preserve">доксинг,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фишинг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«фишинг»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фейковых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</w:t>
      </w:r>
      <w:r w:rsidR="0059569F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 xml:space="preserve">сетях.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соцсетях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фейковых,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>, используют комбинированные методы, многоходовки</w:t>
      </w:r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внедрения в белорусских банках антифрод-систем,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lastRenderedPageBreak/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 xml:space="preserve"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 xml:space="preserve">различного рода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 xml:space="preserve">сетях.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кибермошенников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соцсети.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соцсети,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Instagram и Facebook,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соцсетям в Евросоюзе детям в возрасте до 13 лет, с 13 до 16 лет </w:t>
      </w: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евродепутаты предлагают разрешать подросткам пользоваться соцсетями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BF96" w14:textId="77777777" w:rsidR="00F93E33" w:rsidRDefault="00F93E33" w:rsidP="00D17FFD">
      <w:pPr>
        <w:spacing w:after="0" w:line="240" w:lineRule="auto"/>
      </w:pPr>
      <w:r>
        <w:separator/>
      </w:r>
    </w:p>
  </w:endnote>
  <w:endnote w:type="continuationSeparator" w:id="0">
    <w:p w14:paraId="4B584283" w14:textId="77777777" w:rsidR="00F93E33" w:rsidRDefault="00F93E33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612E" w14:textId="77777777" w:rsidR="00F93E33" w:rsidRDefault="00F93E33" w:rsidP="00D17FFD">
      <w:pPr>
        <w:spacing w:after="0" w:line="240" w:lineRule="auto"/>
      </w:pPr>
      <w:r>
        <w:separator/>
      </w:r>
    </w:p>
  </w:footnote>
  <w:footnote w:type="continuationSeparator" w:id="0">
    <w:p w14:paraId="746BC078" w14:textId="77777777" w:rsidR="00F93E33" w:rsidRDefault="00F93E33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298681"/>
      <w:docPartObj>
        <w:docPartGallery w:val="Page Numbers (Top of Page)"/>
        <w:docPartUnique/>
      </w:docPartObj>
    </w:sdtPr>
    <w:sdtContent>
      <w:p w14:paraId="13AFCE9A" w14:textId="44DD0F73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5D4F8C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 w16cid:durableId="607353438">
    <w:abstractNumId w:val="0"/>
  </w:num>
  <w:num w:numId="2" w16cid:durableId="1286620898">
    <w:abstractNumId w:val="2"/>
  </w:num>
  <w:num w:numId="3" w16cid:durableId="20305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B5AE5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47539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93E33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2C6D-457D-4097-9004-6F161AB9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cp:lastPrinted>2025-10-22T13:17:00Z</cp:lastPrinted>
  <dcterms:created xsi:type="dcterms:W3CDTF">2025-11-13T13:01:00Z</dcterms:created>
  <dcterms:modified xsi:type="dcterms:W3CDTF">2025-11-13T13:01:00Z</dcterms:modified>
</cp:coreProperties>
</file>